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6"/>
          <w:szCs w:val="36"/>
        </w:rPr>
      </w:pPr>
      <w:r w:rsidDel="00000000" w:rsidR="00000000" w:rsidRPr="00000000">
        <w:rPr>
          <w:sz w:val="36"/>
          <w:szCs w:val="36"/>
          <w:rtl w:val="0"/>
        </w:rPr>
        <w:t xml:space="preserve">New Counselor Training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w:t>
      </w:r>
    </w:p>
    <w:p w:rsidR="00000000" w:rsidDel="00000000" w:rsidP="00000000" w:rsidRDefault="00000000" w:rsidRPr="00000000" w14:paraId="00000003">
      <w:pPr>
        <w:ind w:left="720" w:firstLine="0"/>
        <w:rPr/>
      </w:pPr>
      <w:r w:rsidDel="00000000" w:rsidR="00000000" w:rsidRPr="00000000">
        <w:rPr>
          <w:rtl w:val="0"/>
        </w:rPr>
        <w:t xml:space="preserve">AARP </w:t>
      </w:r>
      <w:r w:rsidDel="00000000" w:rsidR="00000000" w:rsidRPr="00000000">
        <w:rPr>
          <w:u w:val="single"/>
          <w:rtl w:val="0"/>
        </w:rPr>
        <w:t xml:space="preserve">requires </w:t>
      </w:r>
      <w:r w:rsidDel="00000000" w:rsidR="00000000" w:rsidRPr="00000000">
        <w:rPr>
          <w:rtl w:val="0"/>
        </w:rPr>
        <w:t xml:space="preserve">Counselors that volunteer in states with an individual income tax to certify and demonstrate proficiency and understanding of state income tax law and software requirements.</w:t>
      </w:r>
    </w:p>
    <w:p w:rsidR="00000000" w:rsidDel="00000000" w:rsidP="00000000" w:rsidRDefault="00000000" w:rsidRPr="00000000" w14:paraId="00000004">
      <w:pPr>
        <w:ind w:left="720" w:firstLine="0"/>
        <w:rPr/>
      </w:pPr>
      <w:r w:rsidDel="00000000" w:rsidR="00000000" w:rsidRPr="00000000">
        <w:rPr>
          <w:rtl w:val="0"/>
        </w:rPr>
        <w:t xml:space="preserve">This training is designed to meet that requirement. Use this guide </w:t>
      </w:r>
      <w:r w:rsidDel="00000000" w:rsidR="00000000" w:rsidRPr="00000000">
        <w:rPr>
          <w:b w:val="1"/>
          <w:u w:val="single"/>
          <w:rtl w:val="0"/>
        </w:rPr>
        <w:t xml:space="preserve">with NTC_AZ_TY22 slides</w:t>
      </w:r>
      <w:r w:rsidDel="00000000" w:rsidR="00000000" w:rsidRPr="00000000">
        <w:rPr>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Arizona Individual Income Tax Forms: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140 –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Resident Personal Income Tax Return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Arizona residents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140NR – Nonresident Personal Income Tax Return – non-residents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140PY – Part-Year Resident Personal Income Tax Return – part-year residents</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140PTC –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Property Tax Refund Credit Claim Form</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140ET – Credit for Increased Excise Taxes </w:t>
      </w:r>
    </w:p>
    <w:p w:rsidR="00000000" w:rsidDel="00000000" w:rsidP="00000000" w:rsidRDefault="00000000" w:rsidRPr="00000000" w14:paraId="0000000B">
      <w:pPr>
        <w:ind w:left="720" w:firstLine="0"/>
        <w:rPr/>
      </w:pPr>
      <w:r w:rsidDel="00000000" w:rsidR="00000000" w:rsidRPr="00000000">
        <w:rPr>
          <w:b w:val="1"/>
          <w:rtl w:val="0"/>
        </w:rPr>
        <w:t xml:space="preserve">S3-4.</w:t>
      </w:r>
      <w:r w:rsidDel="00000000" w:rsidR="00000000" w:rsidRPr="00000000">
        <w:rPr>
          <w:rtl w:val="0"/>
        </w:rPr>
        <w:t xml:space="preserve"> Many entries made in the federal section of TaxSlayer will transfer to the Arizona section when the Arizona State return is added to the taxpayer profile. Arizona, like many states, have individual tax regulations, additions/deductions from income and tax credits, which must be entered into TaxSlayer during the preparation of the Arizona tax return.</w:t>
      </w:r>
    </w:p>
    <w:p w:rsidR="00000000" w:rsidDel="00000000" w:rsidP="00000000" w:rsidRDefault="00000000" w:rsidRPr="00000000" w14:paraId="0000000C">
      <w:pPr>
        <w:ind w:left="720" w:firstLine="0"/>
        <w:rPr>
          <w:b w:val="1"/>
        </w:rPr>
      </w:pPr>
      <w:r w:rsidDel="00000000" w:rsidR="00000000" w:rsidRPr="00000000">
        <w:rPr>
          <w:b w:val="1"/>
          <w:rtl w:val="0"/>
        </w:rPr>
        <w:t xml:space="preserve">To help us identify Arizona specific items, we have a Supplemental Arizona Intake document.</w:t>
      </w:r>
    </w:p>
    <w:p w:rsidR="00000000" w:rsidDel="00000000" w:rsidP="00000000" w:rsidRDefault="00000000" w:rsidRPr="00000000" w14:paraId="0000000D">
      <w:pPr>
        <w:ind w:firstLine="720"/>
        <w:rPr/>
      </w:pPr>
      <w:r w:rsidDel="00000000" w:rsidR="00000000" w:rsidRPr="00000000">
        <w:rPr>
          <w:b w:val="1"/>
          <w:rtl w:val="0"/>
        </w:rPr>
        <w:t xml:space="preserve">S5-8.</w:t>
      </w:r>
      <w:r w:rsidDel="00000000" w:rsidR="00000000" w:rsidRPr="00000000">
        <w:rPr>
          <w:rtl w:val="0"/>
        </w:rPr>
        <w:t xml:space="preserve"> Items which transfer from Federal to Arizona in TaxSlayer.</w:t>
      </w:r>
    </w:p>
    <w:p w:rsidR="00000000" w:rsidDel="00000000" w:rsidP="00000000" w:rsidRDefault="00000000" w:rsidRPr="00000000" w14:paraId="0000000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Taxpayer personal information</w:t>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Filing status and Exemptions</w:t>
      </w:r>
    </w:p>
    <w:p w:rsidR="00000000" w:rsidDel="00000000" w:rsidP="00000000" w:rsidRDefault="00000000" w:rsidRPr="00000000" w14:paraId="000000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Dependents</w:t>
      </w:r>
    </w:p>
    <w:p w:rsidR="00000000" w:rsidDel="00000000" w:rsidP="00000000" w:rsidRDefault="00000000" w:rsidRPr="00000000" w14:paraId="0000001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Ancestor’s input</w:t>
      </w:r>
    </w:p>
    <w:p w:rsidR="00000000" w:rsidDel="00000000" w:rsidP="00000000" w:rsidRDefault="00000000" w:rsidRPr="00000000" w14:paraId="0000001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207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Entered in Federal section</w:t>
      </w:r>
    </w:p>
    <w:p w:rsidR="00000000" w:rsidDel="00000000" w:rsidP="00000000" w:rsidRDefault="00000000" w:rsidRPr="00000000" w14:paraId="0000001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207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 has available deduction if qualify</w:t>
      </w:r>
    </w:p>
    <w:p w:rsidR="00000000" w:rsidDel="00000000" w:rsidP="00000000" w:rsidRDefault="00000000" w:rsidRPr="00000000" w14:paraId="0000001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59" w:lineRule="auto"/>
        <w:ind w:left="207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Qualifiers – Check box if yes</w:t>
      </w:r>
    </w:p>
    <w:p w:rsidR="00000000" w:rsidDel="00000000" w:rsidP="00000000" w:rsidRDefault="00000000" w:rsidRPr="00000000" w14:paraId="00000015">
      <w:pPr>
        <w:ind w:left="1710" w:hanging="990"/>
        <w:rPr/>
      </w:pPr>
      <w:r w:rsidDel="00000000" w:rsidR="00000000" w:rsidRPr="00000000">
        <w:rPr>
          <w:b w:val="1"/>
          <w:rtl w:val="0"/>
        </w:rPr>
        <w:t xml:space="preserve">S9.</w:t>
      </w:r>
      <w:r w:rsidDel="00000000" w:rsidR="00000000" w:rsidRPr="00000000">
        <w:rPr>
          <w:rtl w:val="0"/>
        </w:rPr>
        <w:t xml:space="preserve"> Federal AGI is AZ “income starting point”</w:t>
        <w:br w:type="textWrapping"/>
        <w:t xml:space="preserve">a. Non-AZ Muni Interest transfers from Federal Input</w:t>
        <w:br w:type="textWrapping"/>
        <w:t xml:space="preserve">b. HANDOUT – AZ 140 – Page 5 - List of Additions</w:t>
      </w:r>
    </w:p>
    <w:p w:rsidR="00000000" w:rsidDel="00000000" w:rsidP="00000000" w:rsidRDefault="00000000" w:rsidRPr="00000000" w14:paraId="00000016">
      <w:pPr>
        <w:ind w:left="1710" w:hanging="990"/>
        <w:rPr/>
      </w:pPr>
      <w:r w:rsidDel="00000000" w:rsidR="00000000" w:rsidRPr="00000000">
        <w:rPr>
          <w:b w:val="1"/>
          <w:rtl w:val="0"/>
        </w:rPr>
        <w:t xml:space="preserve">S10.</w:t>
      </w:r>
      <w:r w:rsidDel="00000000" w:rsidR="00000000" w:rsidRPr="00000000">
        <w:rPr>
          <w:rtl w:val="0"/>
        </w:rPr>
        <w:t xml:space="preserve"> Subtractions from Income</w:t>
        <w:br w:type="textWrapping"/>
        <w:t xml:space="preserve">a. Net Long Term Capital Gains</w:t>
        <w:br w:type="textWrapping"/>
        <w:t xml:space="preserve">b. US Treasury Interest</w:t>
        <w:br w:type="textWrapping"/>
        <w:t xml:space="preserve">c. SSA/RRR benefits</w:t>
      </w:r>
    </w:p>
    <w:p w:rsidR="00000000" w:rsidDel="00000000" w:rsidP="00000000" w:rsidRDefault="00000000" w:rsidRPr="00000000" w14:paraId="00000017">
      <w:pPr>
        <w:ind w:left="1710" w:hanging="990"/>
        <w:rPr/>
      </w:pPr>
      <w:r w:rsidDel="00000000" w:rsidR="00000000" w:rsidRPr="00000000">
        <w:rPr>
          <w:b w:val="1"/>
          <w:rtl w:val="0"/>
        </w:rPr>
        <w:t xml:space="preserve">S11-12</w:t>
      </w:r>
      <w:r w:rsidDel="00000000" w:rsidR="00000000" w:rsidRPr="00000000">
        <w:rPr>
          <w:rtl w:val="0"/>
        </w:rPr>
        <w:t xml:space="preserve">. Net LT Capital Gain reduction</w:t>
        <w:br w:type="textWrapping"/>
        <w:t xml:space="preserve">a. Review taxpayer documents</w:t>
        <w:br w:type="textWrapping"/>
        <w:t xml:space="preserve">b. Input net LT gain in TaxSlayer</w:t>
        <w:br w:type="textWrapping"/>
        <w:t xml:space="preserve">c. TSO calculates the 27% benefit</w:t>
      </w:r>
    </w:p>
    <w:p w:rsidR="00000000" w:rsidDel="00000000" w:rsidP="00000000" w:rsidRDefault="00000000" w:rsidRPr="00000000" w14:paraId="00000018">
      <w:pPr>
        <w:ind w:left="1710" w:hanging="990"/>
        <w:rPr/>
      </w:pPr>
      <w:r w:rsidDel="00000000" w:rsidR="00000000" w:rsidRPr="00000000">
        <w:rPr>
          <w:rtl w:val="0"/>
        </w:rPr>
        <w:t xml:space="preserve"> </w:t>
      </w:r>
      <w:r w:rsidDel="00000000" w:rsidR="00000000" w:rsidRPr="00000000">
        <w:rPr>
          <w:b w:val="1"/>
          <w:rtl w:val="0"/>
        </w:rPr>
        <w:t xml:space="preserve">S13-14.</w:t>
      </w:r>
      <w:r w:rsidDel="00000000" w:rsidR="00000000" w:rsidRPr="00000000">
        <w:rPr>
          <w:rtl w:val="0"/>
        </w:rPr>
        <w:t xml:space="preserve"> Pension &amp; Annuity Exclusion</w:t>
        <w:br w:type="textWrapping"/>
        <w:t xml:space="preserve">a. Government – Federal and AZ only</w:t>
        <w:br w:type="textWrapping"/>
        <w:t xml:space="preserve">b. Uniformed Services Pensions</w:t>
      </w:r>
    </w:p>
    <w:p w:rsidR="00000000" w:rsidDel="00000000" w:rsidP="00000000" w:rsidRDefault="00000000" w:rsidRPr="00000000" w14:paraId="00000019">
      <w:pPr>
        <w:ind w:firstLine="720"/>
        <w:rPr/>
      </w:pPr>
      <w:r w:rsidDel="00000000" w:rsidR="00000000" w:rsidRPr="00000000">
        <w:rPr>
          <w:b w:val="1"/>
          <w:rtl w:val="0"/>
        </w:rPr>
        <w:t xml:space="preserve">S15.</w:t>
      </w:r>
      <w:r w:rsidDel="00000000" w:rsidR="00000000" w:rsidRPr="00000000">
        <w:rPr>
          <w:rtl w:val="0"/>
        </w:rPr>
        <w:t xml:space="preserve"> Native American Indian Wages/Non-AZ Taxable State Income Tax refunds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9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Qualifiers – All non-reservation earned income is taxable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89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included in Federal AGI </w:t>
      </w:r>
    </w:p>
    <w:p w:rsidR="00000000" w:rsidDel="00000000" w:rsidP="00000000" w:rsidRDefault="00000000" w:rsidRPr="00000000" w14:paraId="0000001C">
      <w:pPr>
        <w:ind w:left="720" w:firstLine="0"/>
        <w:rPr/>
      </w:pPr>
      <w:r w:rsidDel="00000000" w:rsidR="00000000" w:rsidRPr="00000000">
        <w:rPr>
          <w:b w:val="1"/>
          <w:rtl w:val="0"/>
        </w:rPr>
        <w:t xml:space="preserve">S16</w:t>
      </w:r>
      <w:r w:rsidDel="00000000" w:rsidR="00000000" w:rsidRPr="00000000">
        <w:rPr>
          <w:rtl w:val="0"/>
        </w:rPr>
        <w:t xml:space="preserve">. Contributions to 529/529A plans</w:t>
      </w:r>
    </w:p>
    <w:p w:rsidR="00000000" w:rsidDel="00000000" w:rsidP="00000000" w:rsidRDefault="00000000" w:rsidRPr="00000000" w14:paraId="0000001D">
      <w:pPr>
        <w:ind w:left="1530" w:firstLine="0"/>
        <w:rPr/>
      </w:pPr>
      <w:r w:rsidDel="00000000" w:rsidR="00000000" w:rsidRPr="00000000">
        <w:rPr>
          <w:rtl w:val="0"/>
        </w:rPr>
        <w:t xml:space="preserve">a.  This is an AZ item – not input in Federal</w:t>
      </w:r>
    </w:p>
    <w:p w:rsidR="00000000" w:rsidDel="00000000" w:rsidP="00000000" w:rsidRDefault="00000000" w:rsidRPr="00000000" w14:paraId="0000001E">
      <w:pPr>
        <w:rPr/>
      </w:pPr>
      <w:r w:rsidDel="00000000" w:rsidR="00000000" w:rsidRPr="00000000">
        <w:rPr>
          <w:rtl w:val="0"/>
        </w:rPr>
        <w:tab/>
      </w:r>
      <w:r w:rsidDel="00000000" w:rsidR="00000000" w:rsidRPr="00000000">
        <w:rPr>
          <w:b w:val="1"/>
          <w:rtl w:val="0"/>
        </w:rPr>
        <w:t xml:space="preserve">S17</w:t>
      </w:r>
      <w:r w:rsidDel="00000000" w:rsidR="00000000" w:rsidRPr="00000000">
        <w:rPr>
          <w:rtl w:val="0"/>
        </w:rPr>
        <w:t xml:space="preserve">. Exemptions – Automatically calculated by TSO</w:t>
      </w:r>
    </w:p>
    <w:p w:rsidR="00000000" w:rsidDel="00000000" w:rsidP="00000000" w:rsidRDefault="00000000" w:rsidRPr="00000000" w14:paraId="0000001F">
      <w:pPr>
        <w:rPr/>
      </w:pPr>
      <w:r w:rsidDel="00000000" w:rsidR="00000000" w:rsidRPr="00000000">
        <w:rPr>
          <w:rtl w:val="0"/>
        </w:rPr>
        <w:tab/>
      </w:r>
      <w:r w:rsidDel="00000000" w:rsidR="00000000" w:rsidRPr="00000000">
        <w:rPr>
          <w:b w:val="1"/>
          <w:rtl w:val="0"/>
        </w:rPr>
        <w:t xml:space="preserve">S18</w:t>
      </w:r>
      <w:r w:rsidDel="00000000" w:rsidR="00000000" w:rsidRPr="00000000">
        <w:rPr>
          <w:rtl w:val="0"/>
        </w:rPr>
        <w:t xml:space="preserve">. Deductions &amp; Non-Refundable Credits</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9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Standard/Itemized will calculate automatically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9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 allows the Federal Medical reduction in Itemized deductions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89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Line 44 – 25% increase to Standard deduction for Charity (page 3 of 140)  </w:t>
      </w:r>
    </w:p>
    <w:p w:rsidR="00000000" w:rsidDel="00000000" w:rsidP="00000000" w:rsidRDefault="00000000" w:rsidRPr="00000000" w14:paraId="00000023">
      <w:pPr>
        <w:ind w:left="720" w:firstLine="0"/>
        <w:rPr/>
      </w:pPr>
      <w:r w:rsidDel="00000000" w:rsidR="00000000" w:rsidRPr="00000000">
        <w:rPr>
          <w:b w:val="1"/>
          <w:rtl w:val="0"/>
        </w:rPr>
        <w:t xml:space="preserve">S18.</w:t>
      </w:r>
      <w:r w:rsidDel="00000000" w:rsidR="00000000" w:rsidRPr="00000000">
        <w:rPr>
          <w:rtl w:val="0"/>
        </w:rPr>
        <w:t xml:space="preserve"> Non-Refundable Credits from Form 301</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89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Credits - Automatic</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Dependent Tax Credit</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income tax credit</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Excise tax credit</w:t>
        <w:br w:type="textWrapping"/>
      </w:r>
    </w:p>
    <w:p w:rsidR="00000000" w:rsidDel="00000000" w:rsidP="00000000" w:rsidRDefault="00000000" w:rsidRPr="00000000" w14:paraId="00000028">
      <w:pPr>
        <w:ind w:firstLine="720"/>
        <w:rPr>
          <w:b w:val="1"/>
        </w:rPr>
      </w:pPr>
      <w:r w:rsidDel="00000000" w:rsidR="00000000" w:rsidRPr="00000000">
        <w:rPr>
          <w:b w:val="1"/>
          <w:rtl w:val="0"/>
        </w:rPr>
        <w:t xml:space="preserve">Credits – Form 301 Credits</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taxes paid on same income to other states/countries; Form 309</w:t>
        <w:br w:type="textWrapping"/>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solar energy devices; Form 310/319 – </w:t>
      </w:r>
      <w:r w:rsidDel="00000000" w:rsidR="00000000" w:rsidRPr="00000000">
        <w:rPr>
          <w:rFonts w:ascii="Calibri" w:cs="Calibri" w:eastAsia="Calibri" w:hAnsi="Calibri"/>
          <w:b w:val="0"/>
          <w:i w:val="0"/>
          <w:smallCaps w:val="0"/>
          <w:strike w:val="0"/>
          <w:color w:val="ff0000"/>
          <w:sz w:val="22"/>
          <w:szCs w:val="22"/>
          <w:highlight w:val="yellow"/>
          <w:u w:val="none"/>
          <w:vertAlign w:val="baseline"/>
          <w:rtl w:val="0"/>
        </w:rPr>
        <w:t xml:space="preserve">OUT of SCOPE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contribution to qualifying charitable organizations; Form 321</w:t>
        <w:br w:type="textWrapping"/>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Tax credit; public school fees and contributions; Form 322</w:t>
        <w:br w:type="textWrapping"/>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contributions to Certified School Tuition Organization; Form 323</w:t>
        <w:br w:type="textWrapping"/>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Donations to Military Family Relief Fund; Form 340</w:t>
        <w:br w:type="textWrapping"/>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Contributions to Qualifying Foster Care Charitable Organizations; Form 352</w:t>
        <w:br w:type="textWrapping"/>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for Excess Contributions to Certified School Tuition Organization; Form 348</w:t>
        <w:br w:type="textWrapping"/>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qualified unused amounts may be carried forward for not more than five consecutive taxable years.  See Pub. 707.</w:t>
        <w:br w:type="textWrapping"/>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225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114 Tax Credit forms on the AZ DOR website. Most we will not use.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firstLine="720"/>
        <w:rPr>
          <w:b w:val="1"/>
        </w:rPr>
      </w:pPr>
      <w:r w:rsidDel="00000000" w:rsidR="00000000" w:rsidRPr="00000000">
        <w:rPr>
          <w:b w:val="1"/>
          <w:rtl w:val="0"/>
        </w:rPr>
        <w:t xml:space="preserve">Property Tax Credit:</w:t>
      </w:r>
    </w:p>
    <w:p w:rsidR="00000000" w:rsidDel="00000000" w:rsidP="00000000" w:rsidRDefault="00000000" w:rsidRPr="00000000" w14:paraId="00000035">
      <w:pPr>
        <w:ind w:left="1440" w:firstLine="720"/>
        <w:rPr/>
      </w:pPr>
      <w:r w:rsidDel="00000000" w:rsidR="00000000" w:rsidRPr="00000000">
        <w:rPr>
          <w:rtl w:val="0"/>
        </w:rPr>
        <w:t xml:space="preserve">For full year residents 65+ or SSI, Own or Rent; Form 140PTC</w:t>
      </w:r>
    </w:p>
    <w:p w:rsidR="00000000" w:rsidDel="00000000" w:rsidP="00000000" w:rsidRDefault="00000000" w:rsidRPr="00000000" w14:paraId="00000036">
      <w:pPr>
        <w:ind w:left="1440" w:firstLine="720"/>
        <w:rPr/>
      </w:pPr>
      <w:r w:rsidDel="00000000" w:rsidR="00000000" w:rsidRPr="00000000">
        <w:rPr>
          <w:rtl w:val="0"/>
        </w:rPr>
        <w:t xml:space="preserve">Owners: Need proof of Property Tax Paid</w:t>
      </w:r>
    </w:p>
    <w:p w:rsidR="00000000" w:rsidDel="00000000" w:rsidP="00000000" w:rsidRDefault="00000000" w:rsidRPr="00000000" w14:paraId="00000037">
      <w:pPr>
        <w:ind w:left="1440" w:firstLine="720"/>
        <w:rPr/>
      </w:pPr>
      <w:r w:rsidDel="00000000" w:rsidR="00000000" w:rsidRPr="00000000">
        <w:rPr>
          <w:rtl w:val="0"/>
        </w:rPr>
        <w:t xml:space="preserve">Renters: Need signed Form 201 from landlord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tab/>
      </w:r>
      <w:r w:rsidDel="00000000" w:rsidR="00000000" w:rsidRPr="00000000">
        <w:rPr>
          <w:b w:val="1"/>
          <w:rtl w:val="0"/>
        </w:rPr>
        <w:t xml:space="preserve">Resources:</w:t>
      </w:r>
    </w:p>
    <w:p w:rsidR="00000000" w:rsidDel="00000000" w:rsidP="00000000" w:rsidRDefault="00000000" w:rsidRPr="00000000" w14:paraId="0000003A">
      <w:pPr>
        <w:rPr/>
      </w:pPr>
      <w:r w:rsidDel="00000000" w:rsidR="00000000" w:rsidRPr="00000000">
        <w:rPr>
          <w:rtl w:val="0"/>
        </w:rPr>
        <w:tab/>
        <w:tab/>
        <w:t xml:space="preserve">AZ Tax-Aide website – Tax Preparation – Arizona Taxes</w:t>
      </w:r>
    </w:p>
    <w:p w:rsidR="00000000" w:rsidDel="00000000" w:rsidP="00000000" w:rsidRDefault="00000000" w:rsidRPr="00000000" w14:paraId="0000003B">
      <w:pPr>
        <w:rPr/>
      </w:pPr>
      <w:r w:rsidDel="00000000" w:rsidR="00000000" w:rsidRPr="00000000">
        <w:rPr>
          <w:rtl w:val="0"/>
        </w:rPr>
        <w:tab/>
        <w:tab/>
        <w:t xml:space="preserve">Arizona “Cactus Book”</w:t>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TaxSlayer</w:t>
      </w:r>
      <w:r w:rsidDel="00000000" w:rsidR="00000000" w:rsidRPr="00000000">
        <w:rPr>
          <w:rtl w:val="0"/>
        </w:rPr>
        <w:t xml:space="preserve">: You have been asked to assist Wyatt &amp; Virginia Earp complete their TY22 Arizona state tax return.</w:t>
      </w:r>
    </w:p>
    <w:p w:rsidR="00000000" w:rsidDel="00000000" w:rsidP="00000000" w:rsidRDefault="00000000" w:rsidRPr="00000000" w14:paraId="0000003E">
      <w:pPr>
        <w:rPr/>
      </w:pPr>
      <w:r w:rsidDel="00000000" w:rsidR="00000000" w:rsidRPr="00000000">
        <w:rPr>
          <w:rtl w:val="0"/>
        </w:rPr>
        <w:t xml:space="preserve">They completed their 2022 Federal return, but have some items unique to AZ. </w:t>
      </w:r>
    </w:p>
    <w:p w:rsidR="00000000" w:rsidDel="00000000" w:rsidP="00000000" w:rsidRDefault="00000000" w:rsidRPr="00000000" w14:paraId="0000003F">
      <w:pPr>
        <w:rPr>
          <w:b w:val="1"/>
        </w:rPr>
      </w:pPr>
      <w:r w:rsidDel="00000000" w:rsidR="00000000" w:rsidRPr="00000000">
        <w:rPr>
          <w:b w:val="1"/>
          <w:rtl w:val="0"/>
        </w:rPr>
        <w:t xml:space="preserve">Basic Information:</w:t>
      </w:r>
    </w:p>
    <w:p w:rsidR="00000000" w:rsidDel="00000000" w:rsidP="00000000" w:rsidRDefault="00000000" w:rsidRPr="00000000" w14:paraId="00000040">
      <w:pPr>
        <w:rPr/>
      </w:pPr>
      <w:r w:rsidDel="00000000" w:rsidR="00000000" w:rsidRPr="00000000">
        <w:rPr>
          <w:rtl w:val="0"/>
        </w:rPr>
        <w:t xml:space="preserve">Wyatt Earp (3/19/1948) is a retired lawman living on Boot Hill in Tombstone, AZ. He is married to Virginia (2/2/1946) who is retired. They file a joint return.</w:t>
      </w:r>
    </w:p>
    <w:p w:rsidR="00000000" w:rsidDel="00000000" w:rsidP="00000000" w:rsidRDefault="00000000" w:rsidRPr="00000000" w14:paraId="00000041">
      <w:pPr>
        <w:rPr/>
      </w:pPr>
      <w:r w:rsidDel="00000000" w:rsidR="00000000" w:rsidRPr="00000000">
        <w:rPr>
          <w:rtl w:val="0"/>
        </w:rPr>
        <w:t xml:space="preserve">Shirley U. Jest (3/2/1919), Virginia’s mother lived with them all year and they provide quality of life support to Shirley that meets the AZ Ancestor guidelines. Shirley is disabled and has no income.</w:t>
      </w:r>
    </w:p>
    <w:p w:rsidR="00000000" w:rsidDel="00000000" w:rsidP="00000000" w:rsidRDefault="00000000" w:rsidRPr="00000000" w14:paraId="00000042">
      <w:pPr>
        <w:rPr>
          <w:b w:val="1"/>
        </w:rPr>
      </w:pPr>
      <w:r w:rsidDel="00000000" w:rsidR="00000000" w:rsidRPr="00000000">
        <w:rPr>
          <w:b w:val="1"/>
          <w:rtl w:val="0"/>
        </w:rPr>
        <w:t xml:space="preserve">Income:</w:t>
      </w:r>
    </w:p>
    <w:p w:rsidR="00000000" w:rsidDel="00000000" w:rsidP="00000000" w:rsidRDefault="00000000" w:rsidRPr="00000000" w14:paraId="00000043">
      <w:pPr>
        <w:rPr/>
      </w:pPr>
      <w:r w:rsidDel="00000000" w:rsidR="00000000" w:rsidRPr="00000000">
        <w:rPr>
          <w:rtl w:val="0"/>
        </w:rPr>
        <w:t xml:space="preserve">Wyatt received a standard 1099-R from Pima County Sherrif Department showing $48,450 in gross distributions and $46,450 in taxable distributions. There was $2,250 Federal Tax withheld and $2,000 in insurance premiums (box 5).  The Taxable Amount Not Determine box was checked. The form shows a normal distribution (Code 7). It also shows the same distribution in AZ (839876543) with $750 in AZ taxes withheld.</w:t>
      </w:r>
    </w:p>
    <w:p w:rsidR="00000000" w:rsidDel="00000000" w:rsidP="00000000" w:rsidRDefault="00000000" w:rsidRPr="00000000" w14:paraId="00000044">
      <w:pPr>
        <w:rPr/>
      </w:pPr>
      <w:r w:rsidDel="00000000" w:rsidR="00000000" w:rsidRPr="00000000">
        <w:rPr>
          <w:rtl w:val="0"/>
        </w:rPr>
        <w:t xml:space="preserve">Wyatt received $8,000 from Social Security and had $1,758 withheld for Medicare. He also had $200 Federal Income Tax withheld. Virginia paid her Medicare premiums quarterly at $439.50 per quarter.</w:t>
      </w:r>
    </w:p>
    <w:p w:rsidR="00000000" w:rsidDel="00000000" w:rsidP="00000000" w:rsidRDefault="00000000" w:rsidRPr="00000000" w14:paraId="00000045">
      <w:pPr>
        <w:rPr/>
      </w:pPr>
      <w:r w:rsidDel="00000000" w:rsidR="00000000" w:rsidRPr="00000000">
        <w:rPr>
          <w:rtl w:val="0"/>
        </w:rPr>
        <w:t xml:space="preserve">Virginia reported that she sold her investment in COLT INDUSTRIES on 12/1/2022 for $6,000. She had purchased the equities in December 2016 for $4800. The cost was not reported to the IRS.</w:t>
      </w:r>
    </w:p>
    <w:p w:rsidR="00000000" w:rsidDel="00000000" w:rsidP="00000000" w:rsidRDefault="00000000" w:rsidRPr="00000000" w14:paraId="00000046">
      <w:pPr>
        <w:rPr>
          <w:b w:val="1"/>
        </w:rPr>
      </w:pPr>
      <w:r w:rsidDel="00000000" w:rsidR="00000000" w:rsidRPr="00000000">
        <w:rPr>
          <w:b w:val="1"/>
          <w:rtl w:val="0"/>
        </w:rPr>
        <w:t xml:space="preserve">Adjustments &amp; Deductions:</w:t>
      </w:r>
    </w:p>
    <w:p w:rsidR="00000000" w:rsidDel="00000000" w:rsidP="00000000" w:rsidRDefault="00000000" w:rsidRPr="00000000" w14:paraId="00000047">
      <w:pPr>
        <w:rPr/>
      </w:pPr>
      <w:r w:rsidDel="00000000" w:rsidR="00000000" w:rsidRPr="00000000">
        <w:rPr>
          <w:rtl w:val="0"/>
        </w:rPr>
        <w:t xml:space="preserve">Wyatt and Virgina always take the standard deduction. Wyatt has a Long-Term Care insurance policy which costs $5,000 annually.</w:t>
      </w:r>
    </w:p>
    <w:p w:rsidR="00000000" w:rsidDel="00000000" w:rsidP="00000000" w:rsidRDefault="00000000" w:rsidRPr="00000000" w14:paraId="00000048">
      <w:pPr>
        <w:rPr/>
      </w:pPr>
      <w:r w:rsidDel="00000000" w:rsidR="00000000" w:rsidRPr="00000000">
        <w:rPr>
          <w:rtl w:val="0"/>
        </w:rPr>
        <w:t xml:space="preserve">Wyatt contributed $1,000 to a 529 College Plan for Tim Clayton. Tim is the son of Billy Clayton, whom Wyatt killed at the OK Corral.</w:t>
      </w:r>
    </w:p>
    <w:p w:rsidR="00000000" w:rsidDel="00000000" w:rsidP="00000000" w:rsidRDefault="00000000" w:rsidRPr="00000000" w14:paraId="00000049">
      <w:pPr>
        <w:rPr/>
      </w:pPr>
      <w:r w:rsidDel="00000000" w:rsidR="00000000" w:rsidRPr="00000000">
        <w:rPr>
          <w:rtl w:val="0"/>
        </w:rPr>
        <w:t xml:space="preserve">Together they contributed $1,000 to Love Tree Farm in Yuma. They provided a receipt showing the AZ qualifying charity code as 20763. Wyatt also donated his old Buckboard wagon to Goodwill on December 1st. He estimated the value at $50. He purchased it in December 1987 for $200.</w:t>
      </w:r>
    </w:p>
    <w:p w:rsidR="00000000" w:rsidDel="00000000" w:rsidP="00000000" w:rsidRDefault="00000000" w:rsidRPr="00000000" w14:paraId="0000004A">
      <w:pPr>
        <w:rPr/>
      </w:pPr>
      <w:r w:rsidDel="00000000" w:rsidR="00000000" w:rsidRPr="00000000">
        <w:rPr>
          <w:rtl w:val="0"/>
        </w:rPr>
        <w:t xml:space="preserve">Wyatt has no additional taxes, nor did they make any estimated payments. Neither he nor Virginia have an Identity PIN </w:t>
      </w:r>
    </w:p>
    <w:p w:rsidR="00000000" w:rsidDel="00000000" w:rsidP="00000000" w:rsidRDefault="00000000" w:rsidRPr="00000000" w14:paraId="0000004B">
      <w:pPr>
        <w:rPr/>
      </w:pPr>
      <w:r w:rsidDel="00000000" w:rsidR="00000000" w:rsidRPr="00000000">
        <w:rPr>
          <w:rtl w:val="0"/>
        </w:rPr>
        <w:t xml:space="preserve">Wyatt and Virgina both have Medicare for which Virgina pays quarterly and Wyatt has deducted from his Social Security.</w:t>
      </w:r>
    </w:p>
    <w:p w:rsidR="00000000" w:rsidDel="00000000" w:rsidP="00000000" w:rsidRDefault="00000000" w:rsidRPr="00000000" w14:paraId="0000004C">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center"/>
      <w:rPr>
        <w:sz w:val="44"/>
        <w:szCs w:val="44"/>
      </w:rPr>
    </w:pPr>
    <w:r w:rsidDel="00000000" w:rsidR="00000000" w:rsidRPr="00000000">
      <w:rPr>
        <w:smallCaps w:val="1"/>
        <w:color w:val="808080"/>
        <w:sz w:val="44"/>
        <w:szCs w:val="44"/>
      </w:rPr>
      <mc:AlternateContent>
        <mc:Choice Requires="wpg">
          <w:drawing>
            <wp:anchor allowOverlap="1" behindDoc="0" distB="0" distT="0" distL="114300" distR="114300" hidden="0" layoutInCell="1" locked="0" relativeHeight="0" simplePos="0">
              <wp:simplePos x="0" y="0"/>
              <wp:positionH relativeFrom="page">
                <wp:align>left</wp:align>
              </wp:positionH>
              <wp:positionV relativeFrom="page">
                <wp:posOffset>145415</wp:posOffset>
              </wp:positionV>
              <wp:extent cx="1743075" cy="838200"/>
              <wp:effectExtent b="0" l="0" r="0" t="0"/>
              <wp:wrapNone/>
              <wp:docPr id="159" name=""/>
              <a:graphic>
                <a:graphicData uri="http://schemas.microsoft.com/office/word/2010/wordprocessingGroup">
                  <wpg:wgp>
                    <wpg:cNvGrpSpPr/>
                    <wpg:grpSpPr>
                      <a:xfrm>
                        <a:off x="4474450" y="2843275"/>
                        <a:ext cx="1743075" cy="838200"/>
                        <a:chOff x="4474450" y="2843275"/>
                        <a:chExt cx="1743100" cy="1556925"/>
                      </a:xfrm>
                    </wpg:grpSpPr>
                    <wpg:grpSp>
                      <wpg:cNvGrpSpPr/>
                      <wpg:grpSpPr>
                        <a:xfrm>
                          <a:off x="4474463" y="3360900"/>
                          <a:ext cx="1743075" cy="838200"/>
                          <a:chOff x="0" y="0"/>
                          <a:chExt cx="1700784" cy="1024128"/>
                        </a:xfrm>
                      </wpg:grpSpPr>
                      <wps:wsp>
                        <wps:cNvSpPr/>
                        <wps:cNvPr id="3" name="Shape 3"/>
                        <wps:spPr>
                          <a:xfrm>
                            <a:off x="0" y="0"/>
                            <a:ext cx="1700775" cy="102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1700784" cy="1024128"/>
                            <a:chOff x="0" y="0"/>
                            <a:chExt cx="1700784" cy="1024128"/>
                          </a:xfrm>
                        </wpg:grpSpPr>
                        <wps:wsp>
                          <wps:cNvSpPr/>
                          <wps:cNvPr id="5" name="Shape 5"/>
                          <wps:spPr>
                            <a:xfrm>
                              <a:off x="0" y="0"/>
                              <a:ext cx="1700784" cy="1024128"/>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28600" y="0"/>
                              <a:ext cx="1463040" cy="1014984"/>
                            </a:xfrm>
                            <a:custGeom>
                              <a:rect b="b" l="l" r="r" t="t"/>
                              <a:pathLst>
                                <a:path extrusionOk="0" h="1014481" w="1462822">
                                  <a:moveTo>
                                    <a:pt x="0" y="0"/>
                                  </a:moveTo>
                                  <a:lnTo>
                                    <a:pt x="1462822" y="0"/>
                                  </a:lnTo>
                                  <a:lnTo>
                                    <a:pt x="910372" y="376306"/>
                                  </a:lnTo>
                                  <a:lnTo>
                                    <a:pt x="0" y="1014481"/>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7" name="Shape 7"/>
                          <wps:spPr>
                            <a:xfrm>
                              <a:off x="228600" y="0"/>
                              <a:ext cx="1472184" cy="1024128"/>
                            </a:xfrm>
                            <a:prstGeom prst="rect">
                              <a:avLst/>
                            </a:prstGeom>
                            <a:blipFill rotWithShape="1">
                              <a:blip r:embed="rId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8" name="Shape 8"/>
                        <wps:spPr>
                          <a:xfrm flipH="1">
                            <a:off x="237067" y="18942"/>
                            <a:ext cx="442824" cy="37528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24"/>
                                  <w:vertAlign w:val="baseline"/>
                                </w:rPr>
                                <w:t xml:space="preserve"> PAGE   \* MERGEFORMAT 2</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left</wp:align>
              </wp:positionH>
              <wp:positionV relativeFrom="page">
                <wp:posOffset>145415</wp:posOffset>
              </wp:positionV>
              <wp:extent cx="1743075" cy="838200"/>
              <wp:effectExtent b="0" l="0" r="0" t="0"/>
              <wp:wrapNone/>
              <wp:docPr id="15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743075" cy="838200"/>
                      </a:xfrm>
                      <a:prstGeom prst="rect"/>
                      <a:ln/>
                    </pic:spPr>
                  </pic:pic>
                </a:graphicData>
              </a:graphic>
            </wp:anchor>
          </w:drawing>
        </mc:Fallback>
      </mc:AlternateContent>
    </w:r>
    <w:r w:rsidDel="00000000" w:rsidR="00000000" w:rsidRPr="00000000">
      <w:rPr>
        <w:sz w:val="44"/>
        <w:szCs w:val="44"/>
        <w:rtl w:val="0"/>
      </w:rPr>
      <w:t xml:space="preserve">Arizona Income Tax Training 2022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495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90" w:hanging="360"/>
      </w:pPr>
      <w:rPr/>
    </w:lvl>
    <w:lvl w:ilvl="1">
      <w:start w:val="1"/>
      <w:numFmt w:val="lowerLetter"/>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E357A"/>
    <w:pPr>
      <w:ind w:left="720"/>
      <w:contextualSpacing w:val="1"/>
    </w:pPr>
  </w:style>
  <w:style w:type="paragraph" w:styleId="Header">
    <w:name w:val="header"/>
    <w:basedOn w:val="Normal"/>
    <w:link w:val="HeaderChar"/>
    <w:uiPriority w:val="99"/>
    <w:unhideWhenUsed w:val="1"/>
    <w:rsid w:val="008C6E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8C6E53"/>
  </w:style>
  <w:style w:type="paragraph" w:styleId="Footer">
    <w:name w:val="footer"/>
    <w:basedOn w:val="Normal"/>
    <w:link w:val="FooterChar"/>
    <w:uiPriority w:val="99"/>
    <w:unhideWhenUsed w:val="1"/>
    <w:rsid w:val="008C6E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8C6E5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dD2DLB4OCGSU7iNrT7h1dbkWXg==">AMUW2mX2sTCtgvjwq7CpaQtDFPVb8xhWIiJL9sSBqY1QcLwsD69HyaLpwV2mUB3wOH2im9oRtmswkcRDFeWhRPerJ0eJ2VzHxxRrKm7y8RLJKxBeBpPNa9k=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2022-11-26T09:12:00Z</dcterms:created>
  <dc:creator>Alfred Ricciardi</dc:creator>
</cp:coreProperties>
</file>